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0C82D851" w:rsidR="00A14DA5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7D63CF6F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7D8B2C5A" w14:textId="63358491" w:rsidR="008F04F0" w:rsidRPr="001046DC" w:rsidRDefault="008F04F0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  <w:r w:rsidRPr="008F04F0">
        <w:rPr>
          <w:rFonts w:ascii="Times New Roman" w:hAnsi="Times New Roman" w:cs="Times New Roman"/>
          <w:bCs/>
          <w:sz w:val="24"/>
          <w:szCs w:val="24"/>
        </w:rPr>
        <w:t xml:space="preserve">Nazwa </w:t>
      </w:r>
      <w:r w:rsidRPr="001046DC">
        <w:rPr>
          <w:rFonts w:ascii="Times New Roman" w:hAnsi="Times New Roman" w:cs="Times New Roman"/>
          <w:bCs/>
          <w:sz w:val="24"/>
          <w:szCs w:val="24"/>
        </w:rPr>
        <w:t>usługi:</w:t>
      </w:r>
      <w:r w:rsidR="009008BE" w:rsidRPr="00104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6DC" w:rsidRPr="001046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Analiza działalności przedsiębiorstwa pod kątem wymagań gospodarki obiegu zamkniętego (GOZ) ze szczególnym uwzględnieniem efektywności energetycznej</w:t>
      </w:r>
      <w:r w:rsidR="001046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FE810F1" w14:textId="77777777" w:rsidR="00DE1D91" w:rsidRDefault="00DE1D91" w:rsidP="008F04F0">
      <w:pPr>
        <w:tabs>
          <w:tab w:val="left" w:pos="6285"/>
        </w:tabs>
        <w:rPr>
          <w:rFonts w:ascii="Times New Roman" w:hAnsi="Times New Roman" w:cs="Times New Roman"/>
          <w:bCs/>
          <w:sz w:val="24"/>
          <w:szCs w:val="24"/>
        </w:rPr>
      </w:pP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4FA5121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</w:t>
            </w:r>
            <w:r w:rsidR="00DE1D91">
              <w:rPr>
                <w:rFonts w:ascii="Times New Roman" w:hAnsi="Times New Roman" w:cs="Times New Roman"/>
                <w:szCs w:val="20"/>
              </w:rPr>
              <w:br/>
            </w:r>
            <w:r w:rsidRPr="00A43D46">
              <w:rPr>
                <w:rFonts w:ascii="Times New Roman" w:hAnsi="Times New Roman" w:cs="Times New Roman"/>
                <w:szCs w:val="20"/>
              </w:rPr>
              <w:t>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DE1D91">
        <w:trPr>
          <w:trHeight w:val="784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DE1D91">
        <w:trPr>
          <w:trHeight w:val="41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DE1D91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B64098B" w14:textId="77777777" w:rsidR="00E543B8" w:rsidRDefault="00E543B8" w:rsidP="00E543B8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BFA259" w14:textId="2D34BDD9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Opis potwierdzający spełnienie danego kryterium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(wraz z dokumentacją potwierdzającą np.</w:t>
            </w:r>
            <w:r w:rsidR="000D69F1" w:rsidRPr="00072D84">
              <w:rPr>
                <w:rFonts w:ascii="Times New Roman" w:hAnsi="Times New Roman" w:cs="Times New Roman"/>
                <w:bCs/>
                <w:szCs w:val="20"/>
              </w:rPr>
              <w:t xml:space="preserve">: </w:t>
            </w:r>
            <w:r w:rsidRPr="00072D84">
              <w:rPr>
                <w:rFonts w:ascii="Times New Roman" w:hAnsi="Times New Roman" w:cs="Times New Roman"/>
                <w:bCs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5EC1291" w14:textId="74B0E470" w:rsidR="00A14DA5" w:rsidRPr="00DE1D91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AB430BD" w14:textId="48C24EA3" w:rsidR="00A14DA5" w:rsidRPr="00DE1D91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DE1D91">
        <w:trPr>
          <w:trHeight w:val="591"/>
        </w:trPr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674E8B2D" w14:textId="731DB647" w:rsidR="00A14DA5" w:rsidRPr="00DE1D91" w:rsidRDefault="00A14DA5" w:rsidP="00DE1D91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3D3E8B89" w:rsidR="00A14DA5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237BD140" w14:textId="040A17AB" w:rsidR="008F04F0" w:rsidRDefault="008F04F0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123AAB3A" w14:textId="6FC79B12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5794FAEC" w14:textId="096B1378" w:rsidR="00DE1D91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6BD68D00" w14:textId="77777777" w:rsidR="00DE1D91" w:rsidRPr="00F9276F" w:rsidRDefault="00DE1D91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175107F9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lastRenderedPageBreak/>
        <w:t>Oświadczam(y), że zapoznałem(zapoznaliśmy)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>statucie lub 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3A674FFF" w14:textId="77777777" w:rsidR="00DA137A" w:rsidRDefault="00DA137A" w:rsidP="00DA137A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ważności oferty: 30 czerwca 2023</w:t>
      </w: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2DCF" w14:textId="77777777" w:rsidR="00A14DA5" w:rsidRDefault="00A14DA5" w:rsidP="00A14DA5">
      <w:pPr>
        <w:spacing w:after="0" w:line="240" w:lineRule="auto"/>
      </w:pPr>
      <w:r>
        <w:separator/>
      </w:r>
    </w:p>
  </w:endnote>
  <w:endnote w:type="continuationSeparator" w:id="0">
    <w:p w14:paraId="6ECB27CB" w14:textId="77777777" w:rsidR="00A14DA5" w:rsidRDefault="00A14DA5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E70A" w14:textId="77777777" w:rsidR="00F31751" w:rsidRDefault="00F317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FA91" w14:textId="77777777" w:rsidR="00F31751" w:rsidRDefault="00F317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AC6" w14:textId="77777777" w:rsidR="00F31751" w:rsidRDefault="00F317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27B0" w14:textId="77777777" w:rsidR="00A14DA5" w:rsidRDefault="00A14DA5" w:rsidP="00A14DA5">
      <w:pPr>
        <w:spacing w:after="0" w:line="240" w:lineRule="auto"/>
      </w:pPr>
      <w:r>
        <w:separator/>
      </w:r>
    </w:p>
  </w:footnote>
  <w:footnote w:type="continuationSeparator" w:id="0">
    <w:p w14:paraId="3C565B49" w14:textId="77777777" w:rsidR="00A14DA5" w:rsidRDefault="00A14DA5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CC17" w14:textId="77777777" w:rsidR="00F31751" w:rsidRDefault="00F317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45E61CBA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>Załącznik nr</w:t>
    </w:r>
    <w:r w:rsidR="00F31751">
      <w:rPr>
        <w:i/>
        <w:sz w:val="22"/>
        <w:szCs w:val="22"/>
      </w:rPr>
      <w:t xml:space="preserve"> 6</w:t>
    </w:r>
    <w:r w:rsidR="00CA13E2">
      <w:rPr>
        <w:i/>
        <w:sz w:val="22"/>
        <w:szCs w:val="22"/>
      </w:rPr>
      <w:t xml:space="preserve"> 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9E51" w14:textId="77777777" w:rsidR="00F31751" w:rsidRDefault="00F317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72D84"/>
    <w:rsid w:val="000914D1"/>
    <w:rsid w:val="000D69F1"/>
    <w:rsid w:val="000F4FBD"/>
    <w:rsid w:val="001046DC"/>
    <w:rsid w:val="00163CF3"/>
    <w:rsid w:val="001B0F3E"/>
    <w:rsid w:val="00200090"/>
    <w:rsid w:val="002F0D87"/>
    <w:rsid w:val="003B35DF"/>
    <w:rsid w:val="004F4BB8"/>
    <w:rsid w:val="005E008F"/>
    <w:rsid w:val="006C0A6A"/>
    <w:rsid w:val="006C4C7B"/>
    <w:rsid w:val="0076254F"/>
    <w:rsid w:val="00776CF3"/>
    <w:rsid w:val="007A4D4A"/>
    <w:rsid w:val="007D182C"/>
    <w:rsid w:val="00810DC8"/>
    <w:rsid w:val="008665D8"/>
    <w:rsid w:val="00885CF9"/>
    <w:rsid w:val="00896C6D"/>
    <w:rsid w:val="008F04F0"/>
    <w:rsid w:val="009008BE"/>
    <w:rsid w:val="0095389A"/>
    <w:rsid w:val="009E5BEC"/>
    <w:rsid w:val="00A0479E"/>
    <w:rsid w:val="00A14DA5"/>
    <w:rsid w:val="00A90C36"/>
    <w:rsid w:val="00AC3271"/>
    <w:rsid w:val="00CA13E2"/>
    <w:rsid w:val="00CC20EF"/>
    <w:rsid w:val="00D138C9"/>
    <w:rsid w:val="00D704E3"/>
    <w:rsid w:val="00D75FD2"/>
    <w:rsid w:val="00DA137A"/>
    <w:rsid w:val="00DE1D91"/>
    <w:rsid w:val="00E543B8"/>
    <w:rsid w:val="00F3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Gabriela Śliwińska</cp:lastModifiedBy>
  <cp:revision>10</cp:revision>
  <dcterms:created xsi:type="dcterms:W3CDTF">2023-03-17T12:52:00Z</dcterms:created>
  <dcterms:modified xsi:type="dcterms:W3CDTF">2023-04-07T08:13:00Z</dcterms:modified>
</cp:coreProperties>
</file>